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81E" w:rsidRDefault="003A081E" w:rsidP="003A081E">
      <w:pPr>
        <w:spacing w:line="680" w:lineRule="exact"/>
        <w:rPr>
          <w:rFonts w:ascii="黑体" w:eastAsia="黑体" w:hint="eastAsia"/>
          <w:sz w:val="32"/>
          <w:szCs w:val="32"/>
        </w:rPr>
      </w:pPr>
      <w:r>
        <w:rPr>
          <w:rFonts w:ascii="黑体" w:eastAsia="黑体" w:hAnsi="宋体" w:hint="eastAsia"/>
          <w:sz w:val="32"/>
          <w:szCs w:val="32"/>
        </w:rPr>
        <w:t>教计〔2015〕17号</w:t>
      </w:r>
      <w:r>
        <w:rPr>
          <w:rFonts w:ascii="黑体" w:eastAsia="黑体" w:hint="eastAsia"/>
          <w:sz w:val="32"/>
          <w:szCs w:val="32"/>
        </w:rPr>
        <w:t>附件</w:t>
      </w:r>
    </w:p>
    <w:p w:rsidR="003A081E" w:rsidRDefault="003A081E" w:rsidP="003A081E">
      <w:pPr>
        <w:spacing w:line="560" w:lineRule="exact"/>
        <w:rPr>
          <w:rFonts w:ascii="仿宋_GB2312" w:eastAsia="仿宋_GB2312" w:hint="eastAsia"/>
          <w:sz w:val="32"/>
          <w:szCs w:val="32"/>
        </w:rPr>
      </w:pPr>
    </w:p>
    <w:p w:rsidR="003A081E" w:rsidRDefault="003A081E" w:rsidP="003A081E">
      <w:pPr>
        <w:spacing w:line="680" w:lineRule="exact"/>
        <w:jc w:val="center"/>
        <w:rPr>
          <w:rFonts w:ascii="宋体" w:hAnsi="宋体" w:hint="eastAsia"/>
          <w:b/>
          <w:sz w:val="44"/>
          <w:szCs w:val="44"/>
        </w:rPr>
      </w:pPr>
      <w:r>
        <w:rPr>
          <w:rFonts w:ascii="宋体" w:hAnsi="宋体" w:hint="eastAsia"/>
          <w:b/>
          <w:sz w:val="44"/>
          <w:szCs w:val="44"/>
        </w:rPr>
        <w:t>福建省教育厅关于进一步做好校舍安全保障</w:t>
      </w:r>
    </w:p>
    <w:p w:rsidR="003A081E" w:rsidRDefault="003A081E" w:rsidP="003A081E">
      <w:pPr>
        <w:autoSpaceDE w:val="0"/>
        <w:autoSpaceDN w:val="0"/>
        <w:adjustRightInd w:val="0"/>
        <w:spacing w:line="680" w:lineRule="exact"/>
        <w:jc w:val="center"/>
        <w:rPr>
          <w:rFonts w:ascii="宋体" w:hAnsi="宋体" w:hint="eastAsia"/>
          <w:b/>
          <w:kern w:val="0"/>
          <w:sz w:val="44"/>
          <w:szCs w:val="44"/>
        </w:rPr>
      </w:pPr>
      <w:r>
        <w:rPr>
          <w:rFonts w:ascii="宋体" w:hAnsi="宋体" w:hint="eastAsia"/>
          <w:b/>
          <w:sz w:val="44"/>
          <w:szCs w:val="44"/>
        </w:rPr>
        <w:t>长效机制有关工作的通知</w:t>
      </w:r>
    </w:p>
    <w:p w:rsidR="003A081E" w:rsidRDefault="003A081E" w:rsidP="003A081E">
      <w:pPr>
        <w:spacing w:line="560" w:lineRule="exact"/>
        <w:jc w:val="center"/>
        <w:rPr>
          <w:rFonts w:ascii="仿宋_GB2312" w:eastAsia="仿宋_GB2312" w:hAnsi="黑体" w:hint="eastAsia"/>
          <w:sz w:val="32"/>
          <w:szCs w:val="32"/>
        </w:rPr>
      </w:pPr>
      <w:r>
        <w:rPr>
          <w:rFonts w:ascii="仿宋_GB2312" w:eastAsia="仿宋_GB2312" w:hAnsi="宋体" w:hint="eastAsia"/>
          <w:sz w:val="32"/>
          <w:szCs w:val="32"/>
        </w:rPr>
        <w:t>闽教综</w:t>
      </w:r>
      <w:r>
        <w:rPr>
          <w:rFonts w:ascii="仿宋_GB2312" w:eastAsia="仿宋_GB2312" w:hAnsi="黑体" w:hint="eastAsia"/>
          <w:sz w:val="32"/>
          <w:szCs w:val="32"/>
        </w:rPr>
        <w:t>〔2015〕18号</w:t>
      </w:r>
    </w:p>
    <w:p w:rsidR="003A081E" w:rsidRDefault="003A081E" w:rsidP="003A081E">
      <w:pPr>
        <w:spacing w:line="560" w:lineRule="exact"/>
        <w:jc w:val="center"/>
        <w:rPr>
          <w:rFonts w:ascii="仿宋_GB2312" w:eastAsia="仿宋_GB2312" w:hAnsi="宋体" w:hint="eastAsia"/>
          <w:sz w:val="32"/>
          <w:szCs w:val="32"/>
        </w:rPr>
      </w:pPr>
    </w:p>
    <w:p w:rsidR="003A081E" w:rsidRDefault="003A081E" w:rsidP="003A081E">
      <w:pPr>
        <w:spacing w:line="560" w:lineRule="exact"/>
        <w:rPr>
          <w:rFonts w:ascii="仿宋_GB2312" w:eastAsia="仿宋_GB2312" w:hint="eastAsia"/>
          <w:sz w:val="32"/>
          <w:szCs w:val="32"/>
        </w:rPr>
      </w:pPr>
      <w:r>
        <w:rPr>
          <w:rFonts w:ascii="仿宋_GB2312" w:eastAsia="仿宋_GB2312" w:hAnsi="仿宋" w:hint="eastAsia"/>
          <w:sz w:val="32"/>
          <w:szCs w:val="32"/>
        </w:rPr>
        <w:t>各市、县（区）教育局，平潭</w:t>
      </w:r>
      <w:r>
        <w:rPr>
          <w:rFonts w:ascii="仿宋_GB2312" w:eastAsia="仿宋_GB2312" w:hint="eastAsia"/>
          <w:sz w:val="32"/>
          <w:szCs w:val="32"/>
        </w:rPr>
        <w:t>综合实验区社会事业局</w:t>
      </w:r>
      <w:r>
        <w:rPr>
          <w:rFonts w:ascii="仿宋_GB2312" w:eastAsia="仿宋_GB2312" w:hAnsi="仿宋" w:hint="eastAsia"/>
          <w:sz w:val="32"/>
          <w:szCs w:val="32"/>
        </w:rPr>
        <w:t>：</w:t>
      </w:r>
    </w:p>
    <w:p w:rsidR="003A081E" w:rsidRDefault="003A081E" w:rsidP="003A081E">
      <w:pPr>
        <w:spacing w:line="560" w:lineRule="exact"/>
        <w:ind w:firstLine="645"/>
        <w:rPr>
          <w:rFonts w:ascii="仿宋_GB2312" w:eastAsia="仿宋_GB2312" w:hint="eastAsia"/>
          <w:sz w:val="32"/>
          <w:szCs w:val="32"/>
        </w:rPr>
      </w:pPr>
      <w:r>
        <w:rPr>
          <w:rFonts w:ascii="仿宋_GB2312" w:eastAsia="仿宋_GB2312" w:hAnsi="仿宋" w:hint="eastAsia"/>
          <w:sz w:val="32"/>
          <w:szCs w:val="32"/>
        </w:rPr>
        <w:t>根据</w:t>
      </w:r>
      <w:r>
        <w:rPr>
          <w:rFonts w:ascii="仿宋_GB2312" w:eastAsia="仿宋_GB2312" w:hint="eastAsia"/>
          <w:sz w:val="32"/>
          <w:szCs w:val="32"/>
        </w:rPr>
        <w:t>《福建省人民政府办公厅转发福建省教育厅等部门关于建立福建省中小学校舍安全保障长效机制实施意见的通知》（闽政办〔2014〕45号）精神，现将进一步做好校舍安全保障长效机制工作的有关事项通知如下：</w:t>
      </w:r>
    </w:p>
    <w:p w:rsidR="003A081E" w:rsidRDefault="003A081E" w:rsidP="003A081E">
      <w:pPr>
        <w:spacing w:line="560" w:lineRule="exact"/>
        <w:ind w:firstLine="646"/>
        <w:rPr>
          <w:rFonts w:ascii="仿宋_GB2312" w:eastAsia="仿宋_GB2312" w:hint="eastAsia"/>
          <w:sz w:val="32"/>
          <w:szCs w:val="32"/>
        </w:rPr>
      </w:pPr>
      <w:r>
        <w:rPr>
          <w:rFonts w:ascii="黑体" w:eastAsia="黑体" w:hAnsi="仿宋" w:hint="eastAsia"/>
          <w:sz w:val="32"/>
          <w:szCs w:val="32"/>
        </w:rPr>
        <w:t>一、定期开展校舍安全隐患排查和鉴定，及时排除隐患。</w:t>
      </w:r>
      <w:r>
        <w:rPr>
          <w:rFonts w:ascii="仿宋_GB2312" w:eastAsia="仿宋_GB2312" w:hAnsi="仿宋" w:hint="eastAsia"/>
          <w:sz w:val="32"/>
          <w:szCs w:val="32"/>
        </w:rPr>
        <w:t>各县（市、区）要按照</w:t>
      </w:r>
      <w:r>
        <w:rPr>
          <w:rFonts w:ascii="仿宋_GB2312" w:eastAsia="仿宋_GB2312" w:hint="eastAsia"/>
          <w:sz w:val="32"/>
          <w:szCs w:val="32"/>
        </w:rPr>
        <w:t>闽政办〔2014〕45号要求，认真落实各级政府主体责任，严格责任追究制度。要安排一定的校舍安全排查鉴定经费，建立校舍安全年检制度并将校舍安全隐患排查和鉴定工作落实到位。校舍排查鉴定结果要及时录入全国中小学校舍信息管理系统，并作为今后项目规划检查和教育督导的重要参考依据。</w:t>
      </w:r>
    </w:p>
    <w:p w:rsidR="003A081E" w:rsidRDefault="003A081E" w:rsidP="003A081E">
      <w:pPr>
        <w:spacing w:line="560" w:lineRule="exact"/>
        <w:ind w:firstLine="646"/>
        <w:rPr>
          <w:rFonts w:ascii="仿宋_GB2312" w:eastAsia="仿宋_GB2312" w:hAnsi="仿宋" w:hint="eastAsia"/>
          <w:sz w:val="32"/>
          <w:szCs w:val="32"/>
        </w:rPr>
      </w:pPr>
      <w:r>
        <w:rPr>
          <w:rFonts w:ascii="黑体" w:eastAsia="黑体" w:hAnsi="仿宋" w:hint="eastAsia"/>
          <w:sz w:val="32"/>
          <w:szCs w:val="32"/>
        </w:rPr>
        <w:t>二、实行校舍信息管理系统与项目进度同步管理和及时更新。</w:t>
      </w:r>
      <w:r>
        <w:rPr>
          <w:rFonts w:ascii="仿宋_GB2312" w:eastAsia="仿宋_GB2312" w:hAnsi="仿宋" w:hint="eastAsia"/>
          <w:sz w:val="32"/>
          <w:szCs w:val="32"/>
        </w:rPr>
        <w:t>根据校舍信息管理系统中截至4月底有关数据的统计分析，我省抗震设防烈度不达标或截至2017年已超出使用年限的中小学校舍达1304万平方米（详见附件1）。各地要对校舍信息管理系统中的数据进行分析核实，根据校舍建设项目的实施情况及时更新有关数据，使系统数据与校舍实际情况相一致。已批复</w:t>
      </w:r>
      <w:r>
        <w:rPr>
          <w:rFonts w:ascii="仿宋_GB2312" w:eastAsia="仿宋_GB2312" w:hAnsi="仿宋" w:hint="eastAsia"/>
          <w:sz w:val="32"/>
          <w:szCs w:val="32"/>
        </w:rPr>
        <w:lastRenderedPageBreak/>
        <w:t>的各市、县（区）扩容工程和校舍安全保障长效机制等所有项目，应于6月15日前录入校舍信息管理系统中工程建设管理栏目下的“项目规划管理”和“项目资金管理”，正在实施和已竣工项目的相关信息要及时录入“项目实施管理”。</w:t>
      </w:r>
    </w:p>
    <w:p w:rsidR="003A081E" w:rsidRDefault="003A081E" w:rsidP="003A081E">
      <w:pPr>
        <w:spacing w:line="560" w:lineRule="exact"/>
        <w:ind w:firstLine="646"/>
        <w:rPr>
          <w:rFonts w:ascii="仿宋_GB2312" w:eastAsia="仿宋_GB2312" w:hint="eastAsia"/>
          <w:sz w:val="32"/>
          <w:szCs w:val="32"/>
        </w:rPr>
      </w:pPr>
      <w:r>
        <w:rPr>
          <w:rFonts w:ascii="黑体" w:eastAsia="黑体" w:hAnsi="仿宋" w:hint="eastAsia"/>
          <w:sz w:val="32"/>
          <w:szCs w:val="32"/>
        </w:rPr>
        <w:t>三、全面消除D级危房及重大安全隐患校舍，确保校舍安全。</w:t>
      </w:r>
      <w:r>
        <w:rPr>
          <w:rFonts w:ascii="仿宋_GB2312" w:eastAsia="仿宋_GB2312" w:hint="eastAsia"/>
          <w:sz w:val="32"/>
          <w:szCs w:val="32"/>
        </w:rPr>
        <w:t>根据校舍信息管理系统统计，截至4月底还有部分县（市、区）存在少量的</w:t>
      </w:r>
      <w:r>
        <w:rPr>
          <w:rFonts w:ascii="仿宋_GB2312" w:eastAsia="仿宋_GB2312" w:hAnsi="仿宋" w:hint="eastAsia"/>
          <w:sz w:val="32"/>
          <w:szCs w:val="32"/>
        </w:rPr>
        <w:t>D级危房。各地要</w:t>
      </w:r>
      <w:r>
        <w:rPr>
          <w:rFonts w:ascii="仿宋_GB2312" w:eastAsia="仿宋_GB2312" w:hint="eastAsia"/>
          <w:sz w:val="32"/>
          <w:szCs w:val="32"/>
        </w:rPr>
        <w:t>对辖区内的校舍信息管理系统中D级危房信息进行逐校逐栋核实，若有仍在使用的应立即停用并拆除，确保师生生命安全，不再使用的也应立即拆除，已拆除的应于6月15日前更新系统信息。</w:t>
      </w:r>
    </w:p>
    <w:p w:rsidR="003A081E" w:rsidRDefault="003A081E" w:rsidP="003A081E">
      <w:pPr>
        <w:spacing w:line="560" w:lineRule="exact"/>
        <w:ind w:firstLine="646"/>
        <w:rPr>
          <w:rFonts w:ascii="仿宋_GB2312" w:eastAsia="仿宋_GB2312" w:hAnsi="仿宋" w:hint="eastAsia"/>
          <w:sz w:val="32"/>
          <w:szCs w:val="32"/>
        </w:rPr>
      </w:pPr>
      <w:r>
        <w:rPr>
          <w:rFonts w:ascii="黑体" w:eastAsia="黑体" w:hAnsi="仿宋" w:hint="eastAsia"/>
          <w:sz w:val="32"/>
          <w:szCs w:val="32"/>
        </w:rPr>
        <w:t>四、依托校舍信息管理系统做好校舍安全预警和信息通报。</w:t>
      </w:r>
      <w:r>
        <w:rPr>
          <w:rFonts w:ascii="仿宋_GB2312" w:eastAsia="仿宋_GB2312" w:hAnsi="仿宋" w:hint="eastAsia"/>
          <w:sz w:val="32"/>
          <w:szCs w:val="32"/>
        </w:rPr>
        <w:t>省校安办将不定期通报全省校舍安全鉴定、建设和管理情况。各地要依托校舍信息管理系统，建立相应的校舍安全预警机制，完善信息通报和公告制度，逐校通报辖区内中小学校可能存在安全隐患的校舍信息，定期发布中小学校舍安全信息公告。</w:t>
      </w:r>
    </w:p>
    <w:p w:rsidR="003A081E" w:rsidRDefault="003A081E" w:rsidP="003A081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 w:hint="eastAsia"/>
          <w:sz w:val="32"/>
          <w:szCs w:val="32"/>
        </w:rPr>
        <w:t>2015年起，将根据各地长效机制制度完善情况、校舍信息管理系统中相关数据、上一年度长效机制地方资金安排情况等进行绩效评价，请各县（市、区）将</w:t>
      </w:r>
      <w:r>
        <w:rPr>
          <w:rFonts w:ascii="仿宋_GB2312" w:eastAsia="仿宋_GB2312" w:hAnsi="仿宋" w:cs="宋体" w:hint="eastAsia"/>
          <w:kern w:val="0"/>
          <w:sz w:val="32"/>
          <w:szCs w:val="32"/>
        </w:rPr>
        <w:t>2014年以来落实校安长效机制工作的相关文件（含本级政府结合本地实际情况制定的关于中小学校舍安全保障长效机制的实施意见）、2014年安排中小学校舍安全长效机制本级财政资金预算文件以及《</w:t>
      </w:r>
      <w:r>
        <w:rPr>
          <w:rFonts w:ascii="仿宋_GB2312" w:eastAsia="仿宋_GB2312" w:hAnsi="仿宋" w:hint="eastAsia"/>
          <w:sz w:val="32"/>
          <w:szCs w:val="32"/>
        </w:rPr>
        <w:t>存在安全隐患的中小学校舍排查情况</w:t>
      </w:r>
      <w:r>
        <w:rPr>
          <w:rFonts w:ascii="仿宋_GB2312" w:eastAsia="仿宋_GB2312" w:hAnsi="仿宋" w:cs="宋体" w:hint="eastAsia"/>
          <w:kern w:val="0"/>
          <w:sz w:val="32"/>
          <w:szCs w:val="32"/>
        </w:rPr>
        <w:t>表》（附件2）报各设区市，各设区市汇总后于7月30日前报省校安办</w:t>
      </w:r>
      <w:r>
        <w:rPr>
          <w:rFonts w:ascii="仿宋_GB2312" w:eastAsia="仿宋_GB2312" w:hAnsi="仿宋" w:hint="eastAsia"/>
          <w:sz w:val="32"/>
          <w:szCs w:val="32"/>
        </w:rPr>
        <w:t>。电子邮箱:fjsxab@126.com；传真：0591-87827231；通讯地址：福州市鼓楼区鼓屏路162号</w:t>
      </w:r>
      <w:r>
        <w:rPr>
          <w:rFonts w:ascii="仿宋_GB2312" w:eastAsia="仿宋_GB2312" w:hAnsi="仿宋" w:hint="eastAsia"/>
          <w:sz w:val="32"/>
          <w:szCs w:val="32"/>
        </w:rPr>
        <w:lastRenderedPageBreak/>
        <w:t>省教育厅819室；邮编：350001。</w:t>
      </w:r>
    </w:p>
    <w:p w:rsidR="003A081E" w:rsidRDefault="003A081E" w:rsidP="003A081E">
      <w:pPr>
        <w:spacing w:line="560" w:lineRule="exact"/>
        <w:ind w:firstLine="645"/>
        <w:rPr>
          <w:rFonts w:ascii="仿宋_GB2312" w:eastAsia="仿宋_GB2312" w:hAnsi="仿宋" w:hint="eastAsia"/>
          <w:sz w:val="32"/>
          <w:szCs w:val="32"/>
        </w:rPr>
      </w:pPr>
    </w:p>
    <w:p w:rsidR="003A081E" w:rsidRDefault="003A081E" w:rsidP="003A081E">
      <w:pPr>
        <w:spacing w:line="560" w:lineRule="exact"/>
        <w:ind w:firstLine="645"/>
        <w:rPr>
          <w:rFonts w:ascii="仿宋_GB2312" w:eastAsia="仿宋_GB2312" w:hAnsi="仿宋" w:hint="eastAsia"/>
          <w:sz w:val="32"/>
          <w:szCs w:val="32"/>
        </w:rPr>
      </w:pPr>
      <w:r>
        <w:rPr>
          <w:rFonts w:ascii="仿宋_GB2312" w:eastAsia="仿宋_GB2312" w:hAnsi="仿宋" w:hint="eastAsia"/>
          <w:sz w:val="32"/>
          <w:szCs w:val="32"/>
        </w:rPr>
        <w:t>附件：1.存在安全隐患的中小学校舍情况统计表</w:t>
      </w:r>
    </w:p>
    <w:p w:rsidR="003A081E" w:rsidRDefault="003A081E" w:rsidP="003A081E">
      <w:pPr>
        <w:spacing w:line="560" w:lineRule="exact"/>
        <w:ind w:firstLine="645"/>
        <w:rPr>
          <w:rFonts w:ascii="仿宋_GB2312" w:eastAsia="仿宋_GB2312" w:hAnsi="仿宋" w:hint="eastAsia"/>
          <w:sz w:val="32"/>
          <w:szCs w:val="32"/>
        </w:rPr>
      </w:pPr>
      <w:r>
        <w:rPr>
          <w:rFonts w:ascii="仿宋_GB2312" w:eastAsia="仿宋_GB2312" w:hAnsi="仿宋" w:hint="eastAsia"/>
          <w:sz w:val="32"/>
          <w:szCs w:val="32"/>
        </w:rPr>
        <w:t xml:space="preserve">      2.存在安全隐患的中小学校舍排查情况</w:t>
      </w:r>
      <w:r>
        <w:rPr>
          <w:rFonts w:ascii="仿宋_GB2312" w:eastAsia="仿宋_GB2312" w:hAnsi="仿宋" w:cs="宋体" w:hint="eastAsia"/>
          <w:kern w:val="0"/>
          <w:sz w:val="32"/>
          <w:szCs w:val="32"/>
        </w:rPr>
        <w:t>表</w:t>
      </w:r>
    </w:p>
    <w:p w:rsidR="003A081E" w:rsidRDefault="003A081E" w:rsidP="003A081E">
      <w:pPr>
        <w:spacing w:line="560" w:lineRule="exact"/>
        <w:jc w:val="center"/>
        <w:rPr>
          <w:rFonts w:ascii="仿宋_GB2312" w:eastAsia="仿宋_GB2312" w:hAnsi="仿宋" w:hint="eastAsia"/>
          <w:sz w:val="32"/>
          <w:szCs w:val="32"/>
        </w:rPr>
      </w:pPr>
    </w:p>
    <w:p w:rsidR="003A081E" w:rsidRDefault="003A081E" w:rsidP="003A081E">
      <w:pPr>
        <w:spacing w:line="560" w:lineRule="exact"/>
        <w:jc w:val="center"/>
        <w:rPr>
          <w:rFonts w:ascii="仿宋_GB2312" w:eastAsia="仿宋_GB2312" w:hAnsi="仿宋" w:hint="eastAsia"/>
          <w:sz w:val="32"/>
          <w:szCs w:val="32"/>
        </w:rPr>
      </w:pPr>
    </w:p>
    <w:p w:rsidR="003A081E" w:rsidRDefault="003A081E" w:rsidP="003A081E">
      <w:pPr>
        <w:spacing w:line="560" w:lineRule="exact"/>
        <w:jc w:val="center"/>
        <w:rPr>
          <w:rFonts w:ascii="仿宋_GB2312" w:eastAsia="仿宋_GB2312" w:hAnsi="仿宋" w:hint="eastAsia"/>
          <w:sz w:val="32"/>
          <w:szCs w:val="32"/>
        </w:rPr>
      </w:pPr>
      <w:r>
        <w:rPr>
          <w:rFonts w:ascii="仿宋_GB2312" w:eastAsia="仿宋_GB2312" w:hAnsi="仿宋" w:hint="eastAsia"/>
          <w:sz w:val="32"/>
          <w:szCs w:val="32"/>
        </w:rPr>
        <w:t xml:space="preserve">                          福建省教育厅</w:t>
      </w:r>
    </w:p>
    <w:p w:rsidR="003A081E" w:rsidRDefault="003A081E" w:rsidP="003A081E">
      <w:pPr>
        <w:spacing w:line="560" w:lineRule="exact"/>
        <w:rPr>
          <w:rFonts w:ascii="仿宋_GB2312" w:eastAsia="仿宋_GB2312" w:hint="eastAsia"/>
          <w:sz w:val="32"/>
          <w:szCs w:val="32"/>
        </w:rPr>
      </w:pPr>
      <w:r>
        <w:rPr>
          <w:rFonts w:ascii="仿宋_GB2312" w:eastAsia="仿宋_GB2312" w:hAnsi="仿宋" w:hint="eastAsia"/>
          <w:sz w:val="32"/>
          <w:szCs w:val="32"/>
        </w:rPr>
        <w:t xml:space="preserve">                                 2015年5月11日</w:t>
      </w:r>
    </w:p>
    <w:p w:rsidR="003A081E" w:rsidRDefault="003A081E" w:rsidP="003A081E">
      <w:pPr>
        <w:spacing w:line="560" w:lineRule="exact"/>
        <w:ind w:right="800" w:firstLineChars="450" w:firstLine="1440"/>
        <w:jc w:val="right"/>
        <w:rPr>
          <w:rFonts w:ascii="仿宋_GB2312" w:eastAsia="仿宋_GB2312" w:hint="eastAsia"/>
          <w:sz w:val="32"/>
          <w:szCs w:val="32"/>
        </w:rPr>
      </w:pPr>
    </w:p>
    <w:p w:rsidR="003B308F" w:rsidRDefault="003B308F">
      <w:bookmarkStart w:id="0" w:name="_GoBack"/>
      <w:bookmarkEnd w:id="0"/>
    </w:p>
    <w:sectPr w:rsidR="003B308F">
      <w:headerReference w:type="default" r:id="rId5"/>
      <w:footerReference w:type="even" r:id="rId6"/>
      <w:footerReference w:type="default" r:id="rId7"/>
      <w:pgSz w:w="11906" w:h="16838"/>
      <w:pgMar w:top="1440" w:right="1588" w:bottom="1440" w:left="1588"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3A081E">
    <w:pPr>
      <w:pStyle w:val="a5"/>
      <w:framePr w:h="0" w:wrap="around" w:vAnchor="text" w:hAnchor="margin" w:xAlign="outside" w:y="1"/>
      <w:rPr>
        <w:rStyle w:val="a3"/>
      </w:rPr>
    </w:pPr>
    <w:r>
      <w:fldChar w:fldCharType="begin"/>
    </w:r>
    <w:r>
      <w:rPr>
        <w:rStyle w:val="a3"/>
      </w:rPr>
      <w:instrText xml:space="preserve">PAGE  </w:instrText>
    </w:r>
    <w:r>
      <w:fldChar w:fldCharType="separate"/>
    </w:r>
    <w:r>
      <w:fldChar w:fldCharType="end"/>
    </w:r>
  </w:p>
  <w:p w:rsidR="00000000" w:rsidRDefault="003A081E">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3A081E">
    <w:pPr>
      <w:pStyle w:val="a5"/>
      <w:framePr w:h="0" w:wrap="around" w:vAnchor="text" w:hAnchor="margin" w:xAlign="outside" w:y="1"/>
      <w:rPr>
        <w:rStyle w:val="a3"/>
        <w:rFonts w:ascii="宋体" w:hAnsi="宋体"/>
        <w:sz w:val="28"/>
        <w:szCs w:val="28"/>
      </w:rPr>
    </w:pPr>
    <w:r>
      <w:rPr>
        <w:rStyle w:val="a3"/>
        <w:rFonts w:ascii="宋体" w:hAnsi="宋体" w:hint="eastAsia"/>
        <w:sz w:val="28"/>
        <w:szCs w:val="28"/>
      </w:rPr>
      <w:t>—</w:t>
    </w:r>
    <w:r>
      <w:rPr>
        <w:rFonts w:ascii="宋体" w:hAnsi="宋体"/>
        <w:sz w:val="28"/>
        <w:szCs w:val="28"/>
      </w:rPr>
      <w:fldChar w:fldCharType="begin"/>
    </w:r>
    <w:r>
      <w:rPr>
        <w:rStyle w:val="a3"/>
        <w:rFonts w:ascii="宋体" w:hAnsi="宋体"/>
        <w:sz w:val="28"/>
        <w:szCs w:val="28"/>
      </w:rPr>
      <w:instrText xml:space="preserve">PAGE  </w:instrText>
    </w:r>
    <w:r>
      <w:rPr>
        <w:rFonts w:ascii="宋体" w:hAnsi="宋体"/>
        <w:sz w:val="28"/>
        <w:szCs w:val="28"/>
      </w:rPr>
      <w:fldChar w:fldCharType="separate"/>
    </w:r>
    <w:r>
      <w:rPr>
        <w:rStyle w:val="a3"/>
        <w:rFonts w:ascii="宋体" w:hAnsi="宋体"/>
        <w:noProof/>
        <w:sz w:val="28"/>
        <w:szCs w:val="28"/>
      </w:rPr>
      <w:t>3</w:t>
    </w:r>
    <w:r>
      <w:rPr>
        <w:rFonts w:ascii="宋体" w:hAnsi="宋体"/>
        <w:sz w:val="28"/>
        <w:szCs w:val="28"/>
      </w:rPr>
      <w:fldChar w:fldCharType="end"/>
    </w:r>
    <w:r>
      <w:rPr>
        <w:rStyle w:val="a3"/>
        <w:rFonts w:ascii="宋体" w:hAnsi="宋体" w:hint="eastAsia"/>
        <w:sz w:val="28"/>
        <w:szCs w:val="28"/>
      </w:rPr>
      <w:t>—</w:t>
    </w:r>
  </w:p>
  <w:p w:rsidR="00000000" w:rsidRDefault="003A081E">
    <w:pPr>
      <w:pStyle w:val="a5"/>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3A081E">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81E"/>
    <w:rsid w:val="003A081E"/>
    <w:rsid w:val="003B3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081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3A081E"/>
  </w:style>
  <w:style w:type="paragraph" w:customStyle="1" w:styleId="Char">
    <w:name w:val="Char"/>
    <w:basedOn w:val="a"/>
    <w:rsid w:val="003A081E"/>
    <w:pPr>
      <w:widowControl/>
      <w:spacing w:after="160" w:line="240" w:lineRule="exact"/>
      <w:jc w:val="left"/>
    </w:pPr>
    <w:rPr>
      <w:szCs w:val="20"/>
    </w:rPr>
  </w:style>
  <w:style w:type="paragraph" w:styleId="a4">
    <w:name w:val="header"/>
    <w:basedOn w:val="a"/>
    <w:link w:val="Char0"/>
    <w:rsid w:val="003A081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3A081E"/>
    <w:rPr>
      <w:rFonts w:ascii="Times New Roman" w:eastAsia="宋体" w:hAnsi="Times New Roman" w:cs="Times New Roman"/>
      <w:sz w:val="18"/>
      <w:szCs w:val="18"/>
    </w:rPr>
  </w:style>
  <w:style w:type="paragraph" w:styleId="a5">
    <w:name w:val="footer"/>
    <w:basedOn w:val="a"/>
    <w:link w:val="Char1"/>
    <w:rsid w:val="003A081E"/>
    <w:pPr>
      <w:tabs>
        <w:tab w:val="center" w:pos="4153"/>
        <w:tab w:val="right" w:pos="8306"/>
      </w:tabs>
      <w:snapToGrid w:val="0"/>
      <w:jc w:val="left"/>
    </w:pPr>
    <w:rPr>
      <w:sz w:val="18"/>
      <w:szCs w:val="18"/>
    </w:rPr>
  </w:style>
  <w:style w:type="character" w:customStyle="1" w:styleId="Char1">
    <w:name w:val="页脚 Char"/>
    <w:basedOn w:val="a0"/>
    <w:link w:val="a5"/>
    <w:rsid w:val="003A081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081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3A081E"/>
  </w:style>
  <w:style w:type="paragraph" w:customStyle="1" w:styleId="Char">
    <w:name w:val="Char"/>
    <w:basedOn w:val="a"/>
    <w:rsid w:val="003A081E"/>
    <w:pPr>
      <w:widowControl/>
      <w:spacing w:after="160" w:line="240" w:lineRule="exact"/>
      <w:jc w:val="left"/>
    </w:pPr>
    <w:rPr>
      <w:szCs w:val="20"/>
    </w:rPr>
  </w:style>
  <w:style w:type="paragraph" w:styleId="a4">
    <w:name w:val="header"/>
    <w:basedOn w:val="a"/>
    <w:link w:val="Char0"/>
    <w:rsid w:val="003A081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3A081E"/>
    <w:rPr>
      <w:rFonts w:ascii="Times New Roman" w:eastAsia="宋体" w:hAnsi="Times New Roman" w:cs="Times New Roman"/>
      <w:sz w:val="18"/>
      <w:szCs w:val="18"/>
    </w:rPr>
  </w:style>
  <w:style w:type="paragraph" w:styleId="a5">
    <w:name w:val="footer"/>
    <w:basedOn w:val="a"/>
    <w:link w:val="Char1"/>
    <w:rsid w:val="003A081E"/>
    <w:pPr>
      <w:tabs>
        <w:tab w:val="center" w:pos="4153"/>
        <w:tab w:val="right" w:pos="8306"/>
      </w:tabs>
      <w:snapToGrid w:val="0"/>
      <w:jc w:val="left"/>
    </w:pPr>
    <w:rPr>
      <w:sz w:val="18"/>
      <w:szCs w:val="18"/>
    </w:rPr>
  </w:style>
  <w:style w:type="character" w:customStyle="1" w:styleId="Char1">
    <w:name w:val="页脚 Char"/>
    <w:basedOn w:val="a0"/>
    <w:link w:val="a5"/>
    <w:rsid w:val="003A081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199</Words>
  <Characters>1135</Characters>
  <Application>Microsoft Office Word</Application>
  <DocSecurity>0</DocSecurity>
  <Lines>9</Lines>
  <Paragraphs>2</Paragraphs>
  <ScaleCrop>false</ScaleCrop>
  <Company/>
  <LinksUpToDate>false</LinksUpToDate>
  <CharactersWithSpaces>1332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dc:creator>
  <cp:lastModifiedBy>cai</cp:lastModifiedBy>
  <cp:revision>1</cp:revision>
  <dcterms:created xsi:type="dcterms:W3CDTF">2015-06-24T13:05:00Z</dcterms:created>
  <dcterms:modified xsi:type="dcterms:W3CDTF">2015-06-24T13:06:00Z</dcterms:modified>
</cp:coreProperties>
</file>