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10" w:rsidRDefault="00C64010" w:rsidP="00C64010">
      <w:pPr>
        <w:widowControl/>
        <w:spacing w:line="560" w:lineRule="exact"/>
        <w:rPr>
          <w:rFonts w:ascii="黑体" w:eastAsia="黑体" w:hint="eastAsia"/>
          <w:bCs/>
          <w:sz w:val="32"/>
          <w:szCs w:val="32"/>
        </w:rPr>
      </w:pPr>
      <w:r>
        <w:rPr>
          <w:rFonts w:ascii="黑体" w:eastAsia="黑体" w:hint="eastAsia"/>
          <w:bCs/>
          <w:sz w:val="32"/>
          <w:szCs w:val="32"/>
        </w:rPr>
        <w:t>附件2</w:t>
      </w:r>
    </w:p>
    <w:p w:rsidR="00C64010" w:rsidRDefault="00C64010" w:rsidP="00C64010">
      <w:pPr>
        <w:widowControl/>
        <w:spacing w:line="560" w:lineRule="exact"/>
        <w:rPr>
          <w:rFonts w:ascii="黑体" w:eastAsia="黑体" w:hint="eastAsia"/>
          <w:bCs/>
          <w:sz w:val="32"/>
          <w:szCs w:val="32"/>
        </w:rPr>
      </w:pPr>
    </w:p>
    <w:p w:rsidR="00C64010" w:rsidRDefault="00C64010" w:rsidP="00C64010">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2020年泉州市高中物理 初中化学教师</w:t>
      </w:r>
    </w:p>
    <w:p w:rsidR="00C64010" w:rsidRDefault="00C64010" w:rsidP="00C64010">
      <w:pPr>
        <w:spacing w:line="560" w:lineRule="exact"/>
        <w:jc w:val="center"/>
        <w:rPr>
          <w:rFonts w:ascii="仿宋_GB2312" w:eastAsia="仿宋_GB2312" w:hint="eastAsia"/>
          <w:sz w:val="32"/>
          <w:szCs w:val="32"/>
        </w:rPr>
      </w:pPr>
      <w:r>
        <w:rPr>
          <w:rFonts w:ascii="方正小标宋简体" w:eastAsia="方正小标宋简体" w:hAnsi="宋体" w:hint="eastAsia"/>
          <w:sz w:val="44"/>
          <w:szCs w:val="44"/>
        </w:rPr>
        <w:t>教学技能竞赛说明</w:t>
      </w:r>
      <w:r>
        <w:rPr>
          <w:rFonts w:ascii="仿宋_GB2312" w:eastAsia="仿宋_GB2312" w:hint="eastAsia"/>
          <w:sz w:val="32"/>
          <w:szCs w:val="32"/>
        </w:rPr>
        <w:t xml:space="preserve">    </w:t>
      </w:r>
    </w:p>
    <w:p w:rsidR="00C64010" w:rsidRDefault="00C64010" w:rsidP="00C64010">
      <w:pPr>
        <w:spacing w:line="560" w:lineRule="exact"/>
        <w:ind w:firstLineChars="200" w:firstLine="640"/>
        <w:rPr>
          <w:rFonts w:ascii="黑体" w:eastAsia="黑体" w:hAnsi="宋体"/>
          <w:sz w:val="32"/>
          <w:szCs w:val="32"/>
        </w:rPr>
      </w:pPr>
      <w:r>
        <w:rPr>
          <w:rFonts w:ascii="仿宋_GB2312" w:eastAsia="仿宋_GB2312" w:hint="eastAsia"/>
          <w:sz w:val="32"/>
          <w:szCs w:val="32"/>
        </w:rPr>
        <w:t xml:space="preserve">  </w:t>
      </w:r>
    </w:p>
    <w:p w:rsidR="00C64010" w:rsidRDefault="00C64010" w:rsidP="00C64010">
      <w:pPr>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一、比赛形式及权重</w:t>
      </w:r>
    </w:p>
    <w:p w:rsidR="00C64010" w:rsidRDefault="00C64010" w:rsidP="00C64010">
      <w:pPr>
        <w:spacing w:line="560" w:lineRule="exact"/>
        <w:ind w:firstLineChars="200" w:firstLine="643"/>
        <w:rPr>
          <w:rFonts w:ascii="楷体_GB2312" w:eastAsia="楷体_GB2312" w:hint="eastAsia"/>
          <w:b/>
          <w:kern w:val="0"/>
          <w:sz w:val="32"/>
          <w:szCs w:val="32"/>
        </w:rPr>
      </w:pPr>
      <w:r>
        <w:rPr>
          <w:rFonts w:ascii="楷体_GB2312" w:eastAsia="楷体_GB2312" w:hint="eastAsia"/>
          <w:b/>
          <w:kern w:val="0"/>
          <w:sz w:val="32"/>
          <w:szCs w:val="32"/>
        </w:rPr>
        <w:t>（一）市级复赛</w:t>
      </w:r>
    </w:p>
    <w:p w:rsidR="00C64010" w:rsidRDefault="00C64010" w:rsidP="00C64010">
      <w:pPr>
        <w:spacing w:line="560" w:lineRule="exact"/>
        <w:ind w:firstLineChars="200" w:firstLine="643"/>
        <w:rPr>
          <w:rFonts w:ascii="仿宋_GB2312" w:eastAsia="仿宋_GB2312" w:hint="eastAsia"/>
          <w:b/>
          <w:kern w:val="0"/>
          <w:sz w:val="32"/>
          <w:szCs w:val="32"/>
        </w:rPr>
      </w:pPr>
      <w:r>
        <w:rPr>
          <w:rFonts w:ascii="仿宋_GB2312" w:eastAsia="仿宋_GB2312" w:hint="eastAsia"/>
          <w:b/>
          <w:kern w:val="0"/>
          <w:sz w:val="32"/>
          <w:szCs w:val="32"/>
        </w:rPr>
        <w:t>1.教学说课环节</w:t>
      </w:r>
    </w:p>
    <w:p w:rsidR="00C64010" w:rsidRDefault="00C64010" w:rsidP="00C64010">
      <w:pPr>
        <w:spacing w:line="560" w:lineRule="exact"/>
        <w:ind w:firstLineChars="200" w:firstLine="640"/>
        <w:jc w:val="left"/>
        <w:rPr>
          <w:rFonts w:eastAsia="仿宋_GB2312" w:hint="eastAsia"/>
          <w:color w:val="FF0000"/>
          <w:kern w:val="0"/>
          <w:sz w:val="32"/>
          <w:szCs w:val="32"/>
        </w:rPr>
      </w:pPr>
      <w:r>
        <w:rPr>
          <w:rFonts w:eastAsia="仿宋_GB2312" w:hint="eastAsia"/>
          <w:kern w:val="0"/>
          <w:sz w:val="32"/>
          <w:szCs w:val="32"/>
        </w:rPr>
        <w:t>教学说课环节采用报送视频的形式。</w:t>
      </w:r>
      <w:r>
        <w:rPr>
          <w:rFonts w:ascii="仿宋_GB2312" w:eastAsia="仿宋_GB2312" w:hAnsi="宋体" w:hint="eastAsia"/>
          <w:sz w:val="32"/>
          <w:szCs w:val="32"/>
        </w:rPr>
        <w:t>主文件为视频文件，要求教学目标清晰、主题突出、内</w:t>
      </w:r>
      <w:r>
        <w:rPr>
          <w:rFonts w:eastAsia="仿宋_GB2312" w:hint="eastAsia"/>
          <w:kern w:val="0"/>
          <w:sz w:val="32"/>
          <w:szCs w:val="32"/>
        </w:rPr>
        <w:t>容完整、声</w:t>
      </w:r>
      <w:proofErr w:type="gramStart"/>
      <w:r>
        <w:rPr>
          <w:rFonts w:eastAsia="仿宋_GB2312" w:hint="eastAsia"/>
          <w:kern w:val="0"/>
          <w:sz w:val="32"/>
          <w:szCs w:val="32"/>
        </w:rPr>
        <w:t>画质量</w:t>
      </w:r>
      <w:proofErr w:type="gramEnd"/>
      <w:r>
        <w:rPr>
          <w:rFonts w:eastAsia="仿宋_GB2312" w:hint="eastAsia"/>
          <w:kern w:val="0"/>
          <w:sz w:val="32"/>
          <w:szCs w:val="32"/>
        </w:rPr>
        <w:t>好。片头字幕为蓝底白字、楷体三号字，片头时长</w:t>
      </w:r>
      <w:r>
        <w:rPr>
          <w:rFonts w:eastAsia="仿宋_GB2312" w:hint="eastAsia"/>
          <w:kern w:val="0"/>
          <w:sz w:val="32"/>
          <w:szCs w:val="32"/>
        </w:rPr>
        <w:t>5</w:t>
      </w:r>
      <w:r>
        <w:rPr>
          <w:rFonts w:eastAsia="仿宋_GB2312" w:hint="eastAsia"/>
          <w:kern w:val="0"/>
          <w:sz w:val="32"/>
          <w:szCs w:val="32"/>
        </w:rPr>
        <w:t>秒，显示教材版本、学段学科、年级学期、课名、教师姓名和所在单位等信息；视频要求采用</w:t>
      </w:r>
      <w:r>
        <w:rPr>
          <w:rFonts w:eastAsia="仿宋_GB2312" w:hint="eastAsia"/>
          <w:kern w:val="0"/>
          <w:sz w:val="32"/>
          <w:szCs w:val="32"/>
        </w:rPr>
        <w:t>mp4/</w:t>
      </w:r>
      <w:proofErr w:type="spellStart"/>
      <w:r>
        <w:rPr>
          <w:rFonts w:eastAsia="仿宋_GB2312" w:hint="eastAsia"/>
          <w:kern w:val="0"/>
          <w:sz w:val="32"/>
          <w:szCs w:val="32"/>
        </w:rPr>
        <w:t>mov</w:t>
      </w:r>
      <w:proofErr w:type="spellEnd"/>
      <w:r>
        <w:rPr>
          <w:rFonts w:eastAsia="仿宋_GB2312" w:hint="eastAsia"/>
          <w:kern w:val="0"/>
          <w:sz w:val="32"/>
          <w:szCs w:val="32"/>
        </w:rPr>
        <w:t>格式，分辨率不低于</w:t>
      </w:r>
      <w:r>
        <w:rPr>
          <w:rFonts w:eastAsia="仿宋_GB2312" w:hint="eastAsia"/>
          <w:kern w:val="0"/>
          <w:sz w:val="32"/>
          <w:szCs w:val="32"/>
        </w:rPr>
        <w:t>720P</w:t>
      </w:r>
      <w:r>
        <w:rPr>
          <w:rFonts w:eastAsia="仿宋_GB2312" w:hint="eastAsia"/>
          <w:kern w:val="0"/>
          <w:sz w:val="32"/>
          <w:szCs w:val="32"/>
        </w:rPr>
        <w:t>，包含声音，时长不超过</w:t>
      </w:r>
      <w:r>
        <w:rPr>
          <w:rFonts w:eastAsia="仿宋_GB2312" w:hint="eastAsia"/>
          <w:kern w:val="0"/>
          <w:sz w:val="32"/>
          <w:szCs w:val="32"/>
        </w:rPr>
        <w:t>10</w:t>
      </w:r>
      <w:r>
        <w:rPr>
          <w:rFonts w:eastAsia="仿宋_GB2312" w:hint="eastAsia"/>
          <w:kern w:val="0"/>
          <w:sz w:val="32"/>
          <w:szCs w:val="32"/>
        </w:rPr>
        <w:t>分钟，总大小不超过</w:t>
      </w:r>
      <w:r>
        <w:rPr>
          <w:rFonts w:eastAsia="仿宋_GB2312" w:hint="eastAsia"/>
          <w:kern w:val="0"/>
          <w:sz w:val="32"/>
          <w:szCs w:val="32"/>
        </w:rPr>
        <w:t>200MB</w:t>
      </w:r>
      <w:r>
        <w:rPr>
          <w:rFonts w:eastAsia="仿宋_GB2312" w:hint="eastAsia"/>
          <w:kern w:val="0"/>
          <w:sz w:val="32"/>
          <w:szCs w:val="32"/>
        </w:rPr>
        <w:t>。参赛教师要根据学科和教学内容特点，把教学设计、配套学习资源等材料一并提交到大赛指定的评选平台（上传地址、方法另行通知）。大赛组委会将组织专家对提交的视频和相关材料进行复评、打分。高中物理成绩前</w:t>
      </w:r>
      <w:r>
        <w:rPr>
          <w:rFonts w:eastAsia="仿宋_GB2312" w:hint="eastAsia"/>
          <w:kern w:val="0"/>
          <w:sz w:val="32"/>
          <w:szCs w:val="32"/>
        </w:rPr>
        <w:t>45</w:t>
      </w:r>
      <w:r>
        <w:rPr>
          <w:rFonts w:eastAsia="仿宋_GB2312" w:hint="eastAsia"/>
          <w:kern w:val="0"/>
          <w:sz w:val="32"/>
          <w:szCs w:val="32"/>
        </w:rPr>
        <w:t>名选手进入综合能力测试。初中化学成绩前</w:t>
      </w:r>
      <w:r>
        <w:rPr>
          <w:rFonts w:eastAsia="仿宋_GB2312" w:hint="eastAsia"/>
          <w:kern w:val="0"/>
          <w:sz w:val="32"/>
          <w:szCs w:val="32"/>
        </w:rPr>
        <w:t>40</w:t>
      </w:r>
      <w:r>
        <w:rPr>
          <w:rFonts w:eastAsia="仿宋_GB2312" w:hint="eastAsia"/>
          <w:kern w:val="0"/>
          <w:sz w:val="32"/>
          <w:szCs w:val="32"/>
        </w:rPr>
        <w:t>名选手进入综合能力测试。</w:t>
      </w:r>
    </w:p>
    <w:p w:rsidR="00C64010" w:rsidRDefault="00C64010" w:rsidP="00C64010">
      <w:pPr>
        <w:spacing w:line="560" w:lineRule="exact"/>
        <w:ind w:firstLineChars="200" w:firstLine="643"/>
        <w:rPr>
          <w:rFonts w:ascii="仿宋_GB2312" w:eastAsia="仿宋_GB2312" w:hint="eastAsia"/>
          <w:b/>
          <w:kern w:val="0"/>
          <w:sz w:val="32"/>
          <w:szCs w:val="32"/>
        </w:rPr>
      </w:pPr>
      <w:r>
        <w:rPr>
          <w:rFonts w:ascii="仿宋_GB2312" w:eastAsia="仿宋_GB2312" w:hint="eastAsia"/>
          <w:b/>
          <w:kern w:val="0"/>
          <w:sz w:val="32"/>
          <w:szCs w:val="32"/>
        </w:rPr>
        <w:t>2.综合能力测试环节</w:t>
      </w:r>
    </w:p>
    <w:p w:rsidR="00C64010" w:rsidRDefault="00C64010" w:rsidP="00C64010">
      <w:pPr>
        <w:spacing w:line="560" w:lineRule="exact"/>
        <w:ind w:firstLineChars="200" w:firstLine="640"/>
        <w:rPr>
          <w:rFonts w:eastAsia="仿宋_GB2312" w:hint="eastAsia"/>
          <w:kern w:val="0"/>
          <w:sz w:val="32"/>
          <w:szCs w:val="32"/>
        </w:rPr>
      </w:pPr>
      <w:r>
        <w:rPr>
          <w:rFonts w:eastAsia="仿宋_GB2312" w:hint="eastAsia"/>
          <w:kern w:val="0"/>
          <w:sz w:val="32"/>
          <w:szCs w:val="32"/>
        </w:rPr>
        <w:t>测试环节为现场笔试。</w:t>
      </w:r>
      <w:r>
        <w:rPr>
          <w:rFonts w:eastAsia="仿宋_GB2312"/>
          <w:kern w:val="0"/>
          <w:sz w:val="32"/>
          <w:szCs w:val="32"/>
        </w:rPr>
        <w:t>主要考察</w:t>
      </w:r>
      <w:r>
        <w:rPr>
          <w:rFonts w:eastAsia="仿宋_GB2312" w:hint="eastAsia"/>
          <w:kern w:val="0"/>
          <w:sz w:val="32"/>
          <w:szCs w:val="32"/>
        </w:rPr>
        <w:t>参赛选手</w:t>
      </w:r>
      <w:r>
        <w:rPr>
          <w:rFonts w:eastAsia="仿宋_GB2312"/>
          <w:kern w:val="0"/>
          <w:sz w:val="32"/>
          <w:szCs w:val="32"/>
        </w:rPr>
        <w:t>职业理念、教育法律法规、教师职业道德规范、文化素养和</w:t>
      </w:r>
      <w:r>
        <w:rPr>
          <w:rFonts w:eastAsia="仿宋_GB2312" w:hint="eastAsia"/>
          <w:kern w:val="0"/>
          <w:sz w:val="32"/>
          <w:szCs w:val="32"/>
        </w:rPr>
        <w:t>教育教学</w:t>
      </w:r>
      <w:r>
        <w:rPr>
          <w:rFonts w:eastAsia="仿宋_GB2312"/>
          <w:kern w:val="0"/>
          <w:sz w:val="32"/>
          <w:szCs w:val="32"/>
        </w:rPr>
        <w:t>能力。</w:t>
      </w:r>
    </w:p>
    <w:p w:rsidR="00C64010" w:rsidRDefault="00C64010" w:rsidP="00C64010">
      <w:pPr>
        <w:spacing w:line="560" w:lineRule="exact"/>
        <w:ind w:firstLineChars="200" w:firstLine="640"/>
        <w:jc w:val="left"/>
        <w:rPr>
          <w:rFonts w:ascii="仿宋_GB2312" w:eastAsia="仿宋_GB2312" w:hAnsi="宋体"/>
          <w:color w:val="FF0000"/>
          <w:sz w:val="32"/>
          <w:szCs w:val="32"/>
        </w:rPr>
      </w:pPr>
      <w:r>
        <w:rPr>
          <w:rFonts w:eastAsia="仿宋_GB2312" w:hint="eastAsia"/>
          <w:kern w:val="0"/>
          <w:sz w:val="32"/>
          <w:szCs w:val="32"/>
        </w:rPr>
        <w:t>按教学说课比赛的得分×</w:t>
      </w:r>
      <w:r>
        <w:rPr>
          <w:rFonts w:eastAsia="仿宋_GB2312" w:hint="eastAsia"/>
          <w:kern w:val="0"/>
          <w:sz w:val="32"/>
          <w:szCs w:val="32"/>
        </w:rPr>
        <w:t>50%+</w:t>
      </w:r>
      <w:r>
        <w:rPr>
          <w:rFonts w:eastAsia="仿宋_GB2312" w:hint="eastAsia"/>
          <w:kern w:val="0"/>
          <w:sz w:val="32"/>
          <w:szCs w:val="32"/>
        </w:rPr>
        <w:t>综合能力测试的得分×</w:t>
      </w:r>
      <w:r>
        <w:rPr>
          <w:rFonts w:eastAsia="仿宋_GB2312" w:hint="eastAsia"/>
          <w:kern w:val="0"/>
          <w:sz w:val="32"/>
          <w:szCs w:val="32"/>
        </w:rPr>
        <w:t>50%</w:t>
      </w:r>
      <w:r>
        <w:rPr>
          <w:rFonts w:eastAsia="仿宋_GB2312" w:hint="eastAsia"/>
          <w:kern w:val="0"/>
          <w:sz w:val="32"/>
          <w:szCs w:val="32"/>
        </w:rPr>
        <w:t>的得分作为复赛成绩。高中物理、初中化学各科复赛成</w:t>
      </w:r>
      <w:r>
        <w:rPr>
          <w:rFonts w:eastAsia="仿宋_GB2312" w:hint="eastAsia"/>
          <w:kern w:val="0"/>
          <w:sz w:val="32"/>
          <w:szCs w:val="32"/>
        </w:rPr>
        <w:lastRenderedPageBreak/>
        <w:t>绩前</w:t>
      </w:r>
      <w:r>
        <w:rPr>
          <w:rFonts w:eastAsia="仿宋_GB2312" w:hint="eastAsia"/>
          <w:kern w:val="0"/>
          <w:sz w:val="32"/>
          <w:szCs w:val="32"/>
        </w:rPr>
        <w:t>15</w:t>
      </w:r>
      <w:r>
        <w:rPr>
          <w:rFonts w:eastAsia="仿宋_GB2312" w:hint="eastAsia"/>
          <w:kern w:val="0"/>
          <w:sz w:val="32"/>
          <w:szCs w:val="32"/>
        </w:rPr>
        <w:t>名选手进入决赛，如参赛选手出现成绩相同，按单项综合能力测试成绩高低确定名次排名，以此类推。</w:t>
      </w:r>
    </w:p>
    <w:p w:rsidR="00C64010" w:rsidRDefault="00C64010" w:rsidP="00C64010">
      <w:pPr>
        <w:spacing w:line="560" w:lineRule="exact"/>
        <w:ind w:firstLineChars="200" w:firstLine="643"/>
        <w:rPr>
          <w:rFonts w:ascii="楷体_GB2312" w:eastAsia="楷体_GB2312" w:hint="eastAsia"/>
          <w:b/>
          <w:color w:val="FF0000"/>
          <w:kern w:val="0"/>
          <w:sz w:val="32"/>
          <w:szCs w:val="32"/>
        </w:rPr>
      </w:pPr>
      <w:r>
        <w:rPr>
          <w:rFonts w:ascii="楷体_GB2312" w:eastAsia="楷体_GB2312" w:hint="eastAsia"/>
          <w:b/>
          <w:kern w:val="0"/>
          <w:sz w:val="32"/>
          <w:szCs w:val="32"/>
        </w:rPr>
        <w:t>（二）市级决赛</w:t>
      </w:r>
    </w:p>
    <w:p w:rsidR="00C64010" w:rsidRDefault="00C64010" w:rsidP="00C64010">
      <w:pPr>
        <w:spacing w:line="560" w:lineRule="exact"/>
        <w:ind w:firstLineChars="200" w:firstLine="640"/>
        <w:rPr>
          <w:rFonts w:ascii="仿宋_GB2312" w:eastAsia="仿宋_GB2312" w:hAnsi="仿宋_GB2312" w:cs="仿宋_GB2312" w:hint="eastAsia"/>
          <w:b/>
          <w:kern w:val="0"/>
          <w:sz w:val="32"/>
          <w:szCs w:val="32"/>
        </w:rPr>
      </w:pPr>
      <w:r>
        <w:rPr>
          <w:rFonts w:eastAsia="仿宋_GB2312" w:hint="eastAsia"/>
          <w:kern w:val="0"/>
          <w:sz w:val="32"/>
          <w:szCs w:val="32"/>
        </w:rPr>
        <w:t>参赛选手按规定要求参加各科的片段教学、</w:t>
      </w:r>
      <w:proofErr w:type="gramStart"/>
      <w:r>
        <w:rPr>
          <w:rFonts w:eastAsia="仿宋_GB2312" w:hint="eastAsia"/>
          <w:kern w:val="0"/>
          <w:sz w:val="32"/>
          <w:szCs w:val="32"/>
        </w:rPr>
        <w:t>观课评课</w:t>
      </w:r>
      <w:proofErr w:type="gramEnd"/>
      <w:r>
        <w:rPr>
          <w:rFonts w:eastAsia="仿宋_GB2312" w:hint="eastAsia"/>
          <w:kern w:val="0"/>
          <w:sz w:val="32"/>
          <w:szCs w:val="32"/>
        </w:rPr>
        <w:t>、实验技能等项目比赛；决赛项目</w:t>
      </w:r>
      <w:r>
        <w:rPr>
          <w:rFonts w:ascii="仿宋_GB2312" w:eastAsia="仿宋_GB2312" w:hAnsi="仿宋" w:cs="仿宋" w:hint="eastAsia"/>
          <w:color w:val="000000"/>
          <w:kern w:val="0"/>
          <w:sz w:val="32"/>
          <w:szCs w:val="32"/>
          <w:lang w:bidi="ar"/>
        </w:rPr>
        <w:t>满分100分（片段</w:t>
      </w:r>
      <w:proofErr w:type="gramStart"/>
      <w:r>
        <w:rPr>
          <w:rFonts w:ascii="仿宋_GB2312" w:eastAsia="仿宋_GB2312" w:hAnsi="仿宋" w:cs="仿宋" w:hint="eastAsia"/>
          <w:color w:val="000000"/>
          <w:kern w:val="0"/>
          <w:sz w:val="32"/>
          <w:szCs w:val="32"/>
          <w:lang w:bidi="ar"/>
        </w:rPr>
        <w:t>教学占</w:t>
      </w:r>
      <w:proofErr w:type="gramEnd"/>
      <w:r>
        <w:rPr>
          <w:rFonts w:ascii="仿宋_GB2312" w:eastAsia="仿宋_GB2312" w:hAnsi="仿宋" w:cs="仿宋" w:hint="eastAsia"/>
          <w:color w:val="000000"/>
          <w:kern w:val="0"/>
          <w:sz w:val="32"/>
          <w:szCs w:val="32"/>
          <w:lang w:bidi="ar"/>
        </w:rPr>
        <w:t>40%、</w:t>
      </w:r>
      <w:proofErr w:type="gramStart"/>
      <w:r>
        <w:rPr>
          <w:rFonts w:ascii="仿宋_GB2312" w:eastAsia="仿宋_GB2312" w:hAnsi="仿宋" w:cs="仿宋" w:hint="eastAsia"/>
          <w:color w:val="000000"/>
          <w:kern w:val="0"/>
          <w:sz w:val="32"/>
          <w:szCs w:val="32"/>
          <w:lang w:bidi="ar"/>
        </w:rPr>
        <w:t>观课评课</w:t>
      </w:r>
      <w:proofErr w:type="gramEnd"/>
      <w:r>
        <w:rPr>
          <w:rFonts w:ascii="仿宋_GB2312" w:eastAsia="仿宋_GB2312" w:hAnsi="仿宋" w:cs="仿宋" w:hint="eastAsia"/>
          <w:color w:val="000000"/>
          <w:kern w:val="0"/>
          <w:sz w:val="32"/>
          <w:szCs w:val="32"/>
          <w:lang w:bidi="ar"/>
        </w:rPr>
        <w:t>占30%、</w:t>
      </w:r>
      <w:r>
        <w:rPr>
          <w:rFonts w:eastAsia="仿宋_GB2312" w:hint="eastAsia"/>
          <w:kern w:val="0"/>
          <w:sz w:val="32"/>
          <w:szCs w:val="32"/>
        </w:rPr>
        <w:t>实验技能</w:t>
      </w:r>
      <w:r>
        <w:rPr>
          <w:rFonts w:ascii="仿宋_GB2312" w:eastAsia="仿宋_GB2312" w:hAnsi="仿宋" w:cs="仿宋" w:hint="eastAsia"/>
          <w:color w:val="000000"/>
          <w:kern w:val="0"/>
          <w:sz w:val="32"/>
          <w:szCs w:val="32"/>
          <w:lang w:bidi="ar"/>
        </w:rPr>
        <w:t>占30%）。</w:t>
      </w:r>
      <w:r>
        <w:rPr>
          <w:rFonts w:eastAsia="仿宋_GB2312" w:hint="eastAsia"/>
          <w:kern w:val="0"/>
          <w:sz w:val="32"/>
          <w:szCs w:val="32"/>
        </w:rPr>
        <w:t>决赛阶段，如参赛选手出现成绩相同，按复赛成绩高低确定名次排名。</w:t>
      </w:r>
    </w:p>
    <w:p w:rsidR="00C64010" w:rsidRDefault="00C64010" w:rsidP="00C64010">
      <w:pPr>
        <w:spacing w:line="560" w:lineRule="exact"/>
        <w:ind w:firstLineChars="200" w:firstLine="64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1.片段教学环节</w:t>
      </w:r>
    </w:p>
    <w:p w:rsidR="00C64010" w:rsidRDefault="00C64010" w:rsidP="00C6401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比赛方式：参赛选手根据规定的片段教学内容，进行现场片段教学。</w:t>
      </w:r>
    </w:p>
    <w:p w:rsidR="00C64010" w:rsidRDefault="00C64010" w:rsidP="00C64010">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比赛用时：15分钟。</w:t>
      </w:r>
    </w:p>
    <w:p w:rsidR="00C64010" w:rsidRDefault="00C64010" w:rsidP="00C64010">
      <w:pPr>
        <w:spacing w:line="560" w:lineRule="exact"/>
        <w:ind w:firstLineChars="200" w:firstLine="640"/>
        <w:rPr>
          <w:rFonts w:ascii="仿宋_GB2312" w:eastAsia="仿宋_GB2312" w:hint="eastAsia"/>
          <w:color w:val="0070C0"/>
          <w:sz w:val="32"/>
          <w:szCs w:val="32"/>
        </w:rPr>
      </w:pPr>
      <w:r>
        <w:rPr>
          <w:rFonts w:ascii="仿宋_GB2312" w:eastAsia="仿宋_GB2312" w:hint="eastAsia"/>
          <w:sz w:val="32"/>
          <w:szCs w:val="32"/>
        </w:rPr>
        <w:t>比赛要求：</w:t>
      </w:r>
      <w:r>
        <w:rPr>
          <w:rFonts w:ascii="仿宋_GB2312" w:eastAsia="仿宋_GB2312" w:hAnsi="宋体" w:hint="eastAsia"/>
          <w:sz w:val="32"/>
          <w:szCs w:val="32"/>
        </w:rPr>
        <w:t>根据</w:t>
      </w:r>
      <w:r>
        <w:rPr>
          <w:rFonts w:ascii="仿宋_GB2312" w:eastAsia="仿宋_GB2312" w:hint="eastAsia"/>
          <w:sz w:val="32"/>
          <w:szCs w:val="32"/>
        </w:rPr>
        <w:t>《课程标准》的理念及教学规律（特点），先进行40分钟片段教学内容备课，后进行15分钟片段教学；不使用多媒体设备。</w:t>
      </w:r>
    </w:p>
    <w:p w:rsidR="00C64010" w:rsidRDefault="00C64010" w:rsidP="00C64010">
      <w:pPr>
        <w:spacing w:line="560" w:lineRule="exact"/>
        <w:ind w:firstLineChars="200" w:firstLine="64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2.</w:t>
      </w:r>
      <w:proofErr w:type="gramStart"/>
      <w:r>
        <w:rPr>
          <w:rFonts w:ascii="仿宋_GB2312" w:eastAsia="仿宋_GB2312" w:hAnsi="仿宋_GB2312" w:cs="仿宋_GB2312" w:hint="eastAsia"/>
          <w:b/>
          <w:kern w:val="0"/>
          <w:sz w:val="32"/>
          <w:szCs w:val="32"/>
        </w:rPr>
        <w:t>观课评课</w:t>
      </w:r>
      <w:proofErr w:type="gramEnd"/>
      <w:r>
        <w:rPr>
          <w:rFonts w:ascii="仿宋_GB2312" w:eastAsia="仿宋_GB2312" w:hAnsi="仿宋_GB2312" w:cs="仿宋_GB2312" w:hint="eastAsia"/>
          <w:b/>
          <w:kern w:val="0"/>
          <w:sz w:val="32"/>
          <w:szCs w:val="32"/>
        </w:rPr>
        <w:t>环节</w:t>
      </w:r>
    </w:p>
    <w:p w:rsidR="00C64010" w:rsidRDefault="00C64010" w:rsidP="00C64010">
      <w:pPr>
        <w:spacing w:line="560" w:lineRule="exact"/>
        <w:ind w:firstLineChars="200" w:firstLine="640"/>
        <w:rPr>
          <w:rFonts w:ascii="仿宋_GB2312" w:eastAsia="仿宋_GB2312" w:hint="eastAsia"/>
          <w:sz w:val="32"/>
          <w:szCs w:val="32"/>
        </w:rPr>
      </w:pPr>
      <w:r>
        <w:rPr>
          <w:rFonts w:ascii="仿宋_GB2312" w:eastAsia="仿宋_GB2312" w:hAnsi="仿宋_GB2312" w:cs="仿宋_GB2312" w:hint="eastAsia"/>
          <w:sz w:val="32"/>
          <w:szCs w:val="32"/>
        </w:rPr>
        <w:t>比赛方式：参赛选手观看所提供的课堂教学录像（一节课，中学45分钟），以书面</w:t>
      </w:r>
      <w:r>
        <w:rPr>
          <w:rFonts w:ascii="仿宋_GB2312" w:eastAsia="仿宋_GB2312" w:hint="eastAsia"/>
          <w:sz w:val="32"/>
          <w:szCs w:val="32"/>
        </w:rPr>
        <w:t>或现场口头方式进行评课。</w:t>
      </w:r>
    </w:p>
    <w:p w:rsidR="00C64010" w:rsidRDefault="00C64010" w:rsidP="00C64010">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比赛用时：书面评课比赛为60分钟（含观看录像及完成书面评课稿）；口头评课比赛为先观看录像及准备共60分钟，后现场评课8分钟。</w:t>
      </w:r>
    </w:p>
    <w:p w:rsidR="00C64010" w:rsidRDefault="00C64010" w:rsidP="00C64010">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比赛要求：</w:t>
      </w:r>
      <w:r>
        <w:rPr>
          <w:rFonts w:ascii="仿宋_GB2312" w:eastAsia="仿宋_GB2312" w:hAnsi="宋体" w:hint="eastAsia"/>
          <w:sz w:val="32"/>
          <w:szCs w:val="32"/>
        </w:rPr>
        <w:t>根据《课程标准》的理念及教学规律（特点）进行评课。书面评课稿字数不少于500字。</w:t>
      </w:r>
    </w:p>
    <w:p w:rsidR="00C64010" w:rsidRDefault="00C64010" w:rsidP="00C64010">
      <w:pPr>
        <w:spacing w:line="560" w:lineRule="exact"/>
        <w:ind w:firstLineChars="200" w:firstLine="64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3.实验技能环节</w:t>
      </w:r>
    </w:p>
    <w:p w:rsidR="00C64010" w:rsidRDefault="00C64010" w:rsidP="00C6401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（1）高中物理</w:t>
      </w:r>
    </w:p>
    <w:p w:rsidR="00C64010" w:rsidRDefault="00C64010" w:rsidP="00C64010">
      <w:pPr>
        <w:spacing w:line="560" w:lineRule="exact"/>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lastRenderedPageBreak/>
        <w:t>比赛方式：参赛选手根据提供的课题与器材进行实验方案设计、操作并讲解。</w:t>
      </w:r>
    </w:p>
    <w:p w:rsidR="00C64010" w:rsidRDefault="00C64010" w:rsidP="00C64010">
      <w:pPr>
        <w:spacing w:line="560" w:lineRule="exact"/>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t>比赛用时：20分钟（含熟悉课题、实验方案设计、操作及讲解）。</w:t>
      </w:r>
    </w:p>
    <w:p w:rsidR="00C64010" w:rsidRDefault="00C64010" w:rsidP="00C64010">
      <w:pPr>
        <w:spacing w:line="560" w:lineRule="exact"/>
        <w:rPr>
          <w:rFonts w:ascii="仿宋_GB2312" w:eastAsia="仿宋_GB2312" w:hAnsi="仿宋_GB2312" w:cs="仿宋_GB2312" w:hint="eastAsia"/>
          <w:vertAlign w:val="subscript"/>
        </w:rPr>
      </w:pPr>
      <w:r>
        <w:rPr>
          <w:rFonts w:ascii="仿宋_GB2312" w:eastAsia="仿宋_GB2312" w:hAnsi="仿宋_GB2312" w:cs="仿宋_GB2312" w:hint="eastAsia"/>
          <w:sz w:val="32"/>
          <w:szCs w:val="32"/>
        </w:rPr>
        <w:t xml:space="preserve">　　比赛要求：根据《普通高中物理课程标准（2017年版）》内容要求及课题的要求，科学设计方案，规范操作，准确讲解，实验结果正确。</w:t>
      </w:r>
    </w:p>
    <w:p w:rsidR="00C64010" w:rsidRDefault="00C64010" w:rsidP="00C6401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（2）初中化学</w:t>
      </w:r>
    </w:p>
    <w:p w:rsidR="00C64010" w:rsidRDefault="00C64010" w:rsidP="00C64010">
      <w:pPr>
        <w:spacing w:line="560" w:lineRule="exact"/>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t>比赛方式：参赛选手根据提供的课题、素材进行演示实验，边演示边讲解。</w:t>
      </w:r>
    </w:p>
    <w:p w:rsidR="00C64010" w:rsidRDefault="00C64010" w:rsidP="00C64010">
      <w:pPr>
        <w:spacing w:line="560" w:lineRule="exact"/>
        <w:ind w:leftChars="50" w:left="105"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比赛用时：20分钟（含熟悉素材、现场演示及讲解）。</w:t>
      </w:r>
    </w:p>
    <w:p w:rsidR="00C64010" w:rsidRDefault="00C64010" w:rsidP="00C64010">
      <w:pPr>
        <w:spacing w:line="560" w:lineRule="exact"/>
        <w:ind w:leftChars="50" w:left="105" w:firstLineChars="150" w:firstLine="48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比赛要求：根据《义务教育化学课程标准（2011年版）》的内容要求及该演示实验的学习目标,正确地进行演示操作和讲解。</w:t>
      </w:r>
    </w:p>
    <w:p w:rsidR="00C64010" w:rsidRDefault="00C64010" w:rsidP="00C64010">
      <w:pPr>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二、注意事项</w:t>
      </w:r>
    </w:p>
    <w:p w:rsidR="00C64010" w:rsidRDefault="00C64010" w:rsidP="00C64010">
      <w:pPr>
        <w:adjustRightInd w:val="0"/>
        <w:snapToGrid w:val="0"/>
        <w:spacing w:line="560" w:lineRule="exact"/>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1.各申报单位须报送参赛选手近5年（2015年8月31日以后）独立发表或撰写过的反映参赛选手水平的本学科教育教学论文或调研报告1篇（重复率不得超过20%），并提交参赛选手是由县（市、区）、</w:t>
      </w:r>
      <w:proofErr w:type="gramStart"/>
      <w:r>
        <w:rPr>
          <w:rFonts w:ascii="仿宋_GB2312" w:eastAsia="仿宋_GB2312" w:hAnsi="仿宋_GB2312" w:cs="仿宋_GB2312" w:hint="eastAsia"/>
          <w:bCs/>
          <w:kern w:val="0"/>
          <w:sz w:val="32"/>
          <w:szCs w:val="32"/>
        </w:rPr>
        <w:t>市直学校</w:t>
      </w:r>
      <w:proofErr w:type="gramEnd"/>
      <w:r>
        <w:rPr>
          <w:rFonts w:ascii="仿宋_GB2312" w:eastAsia="仿宋_GB2312" w:hAnsi="仿宋_GB2312" w:cs="仿宋_GB2312" w:hint="eastAsia"/>
          <w:bCs/>
          <w:kern w:val="0"/>
          <w:sz w:val="32"/>
          <w:szCs w:val="32"/>
        </w:rPr>
        <w:t>组织的教师技能竞赛选拔产生的纸质证明材料。</w:t>
      </w:r>
    </w:p>
    <w:p w:rsidR="00C64010" w:rsidRDefault="00C64010" w:rsidP="00C6401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2.各申报单位须报送本地本单位开展岗位练兵活动和技能竞赛的情况（包括选手选拔情况、岗位练兵工作部署及实施情况、岗位练兵取得的成效等）纸质盖章材料。</w:t>
      </w:r>
    </w:p>
    <w:p w:rsidR="00C64010" w:rsidRDefault="00C64010" w:rsidP="00C6401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3.参赛选手凭身份证报到,凭参赛证参赛。</w:t>
      </w:r>
    </w:p>
    <w:p w:rsidR="00C64010" w:rsidRDefault="00C64010" w:rsidP="00C6401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lastRenderedPageBreak/>
        <w:t>4.由各县(市、区)教育局、</w:t>
      </w:r>
      <w:proofErr w:type="gramStart"/>
      <w:r>
        <w:rPr>
          <w:rFonts w:ascii="仿宋_GB2312" w:eastAsia="仿宋_GB2312" w:hAnsi="仿宋_GB2312" w:cs="仿宋_GB2312" w:hint="eastAsia"/>
          <w:bCs/>
          <w:kern w:val="0"/>
          <w:sz w:val="32"/>
          <w:szCs w:val="32"/>
        </w:rPr>
        <w:t>市直学校</w:t>
      </w:r>
      <w:proofErr w:type="gramEnd"/>
      <w:r>
        <w:rPr>
          <w:rFonts w:ascii="仿宋_GB2312" w:eastAsia="仿宋_GB2312" w:hAnsi="仿宋_GB2312" w:cs="仿宋_GB2312" w:hint="eastAsia"/>
          <w:bCs/>
          <w:kern w:val="0"/>
          <w:sz w:val="32"/>
          <w:szCs w:val="32"/>
        </w:rPr>
        <w:t>统一组织报名。各单位申报的纸质材料于9月18日前报送，逾期视为自动弃权。纸质材料一式三份盖章后报送至泉州市教育工会（泉州市丰泽区东海市行政中心交通科研楼C栋346室）。联系人：小卢，联系电话：0595-22782224，邮箱：jygh@qzedu.cn。</w:t>
      </w: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C64010" w:rsidRDefault="00C64010" w:rsidP="00C64010">
      <w:pPr>
        <w:spacing w:line="560" w:lineRule="exact"/>
        <w:rPr>
          <w:rFonts w:ascii="黑体" w:eastAsia="黑体" w:hint="eastAsia"/>
          <w:bCs/>
          <w:sz w:val="32"/>
          <w:szCs w:val="32"/>
        </w:rPr>
      </w:pPr>
    </w:p>
    <w:p w:rsidR="00190AA6" w:rsidRPr="00C64010" w:rsidRDefault="00190AA6">
      <w:bookmarkStart w:id="0" w:name="_GoBack"/>
      <w:bookmarkEnd w:id="0"/>
    </w:p>
    <w:sectPr w:rsidR="00190AA6" w:rsidRPr="00C64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10"/>
    <w:rsid w:val="00190AA6"/>
    <w:rsid w:val="00C64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2020-06-21T17:48:00Z</dcterms:created>
  <dcterms:modified xsi:type="dcterms:W3CDTF">2020-06-21T17:51:00Z</dcterms:modified>
</cp:coreProperties>
</file>